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57" w:rsidRPr="003D5453" w:rsidRDefault="00656F57" w:rsidP="003D5453">
      <w:pPr>
        <w:jc w:val="center"/>
        <w:rPr>
          <w:b/>
          <w:sz w:val="24"/>
        </w:rPr>
      </w:pPr>
      <w:r w:rsidRPr="003D5453">
        <w:rPr>
          <w:b/>
          <w:sz w:val="24"/>
        </w:rPr>
        <w:t xml:space="preserve">Making sense of </w:t>
      </w:r>
      <w:r w:rsidR="00E36EAF" w:rsidRPr="003D5453">
        <w:rPr>
          <w:b/>
          <w:sz w:val="24"/>
        </w:rPr>
        <w:t xml:space="preserve">evidence from </w:t>
      </w:r>
      <w:r w:rsidRPr="003D5453">
        <w:rPr>
          <w:b/>
          <w:sz w:val="24"/>
        </w:rPr>
        <w:t xml:space="preserve">trials and systematic reviews in </w:t>
      </w:r>
      <w:r w:rsidR="00446F12">
        <w:rPr>
          <w:b/>
          <w:sz w:val="24"/>
        </w:rPr>
        <w:t>p</w:t>
      </w:r>
      <w:r w:rsidRPr="003D5453">
        <w:rPr>
          <w:b/>
          <w:sz w:val="24"/>
        </w:rPr>
        <w:t>h</w:t>
      </w:r>
      <w:r w:rsidR="00446F12">
        <w:rPr>
          <w:b/>
          <w:sz w:val="24"/>
        </w:rPr>
        <w:t>ysical t</w:t>
      </w:r>
      <w:r w:rsidRPr="003D5453">
        <w:rPr>
          <w:b/>
          <w:sz w:val="24"/>
        </w:rPr>
        <w:t>herapy</w:t>
      </w:r>
    </w:p>
    <w:p w:rsidR="003D5453" w:rsidRPr="003D5453" w:rsidRDefault="003D5453" w:rsidP="003D5453">
      <w:pPr>
        <w:jc w:val="center"/>
        <w:rPr>
          <w:b/>
          <w:sz w:val="24"/>
        </w:rPr>
      </w:pPr>
      <w:r w:rsidRPr="003D5453">
        <w:rPr>
          <w:b/>
          <w:sz w:val="24"/>
        </w:rPr>
        <w:t>Dr Neil O’Connell</w:t>
      </w:r>
    </w:p>
    <w:p w:rsidR="00C342E9" w:rsidRPr="003D5453" w:rsidRDefault="00C342E9">
      <w:pPr>
        <w:rPr>
          <w:b/>
          <w:sz w:val="24"/>
        </w:rPr>
      </w:pPr>
      <w:r w:rsidRPr="003D5453">
        <w:rPr>
          <w:b/>
          <w:sz w:val="24"/>
        </w:rPr>
        <w:t>Course description</w:t>
      </w:r>
    </w:p>
    <w:p w:rsidR="00AE5E4F" w:rsidRDefault="00C342E9">
      <w:pPr>
        <w:rPr>
          <w:sz w:val="24"/>
        </w:rPr>
      </w:pPr>
      <w:r w:rsidRPr="00C342E9">
        <w:rPr>
          <w:sz w:val="24"/>
        </w:rPr>
        <w:t>This 2 day course</w:t>
      </w:r>
      <w:r w:rsidR="00A6579D">
        <w:rPr>
          <w:sz w:val="24"/>
        </w:rPr>
        <w:t xml:space="preserve"> is designed for current clinicians and aims to enable participants to become better users of clinical effectiveness research. The course will explain and cut-through the jargon of trials and systematic reviews and offer a framework for critically appraising these types of research paper. The broad aim is that participants will develop the skills to go beyond the abstract </w:t>
      </w:r>
      <w:r w:rsidR="00B63DB1">
        <w:rPr>
          <w:sz w:val="24"/>
        </w:rPr>
        <w:t xml:space="preserve">of a paper </w:t>
      </w:r>
      <w:r w:rsidR="00A6579D">
        <w:rPr>
          <w:sz w:val="24"/>
        </w:rPr>
        <w:t>and be able to make detailed</w:t>
      </w:r>
      <w:r w:rsidR="00B63DB1">
        <w:rPr>
          <w:sz w:val="24"/>
        </w:rPr>
        <w:t xml:space="preserve"> and</w:t>
      </w:r>
      <w:r w:rsidR="00A6579D">
        <w:rPr>
          <w:sz w:val="24"/>
        </w:rPr>
        <w:t xml:space="preserve"> informed judgements </w:t>
      </w:r>
      <w:r w:rsidR="00B63DB1">
        <w:rPr>
          <w:sz w:val="24"/>
        </w:rPr>
        <w:t xml:space="preserve">regarding the validity and </w:t>
      </w:r>
      <w:r w:rsidR="00A6579D">
        <w:rPr>
          <w:sz w:val="24"/>
        </w:rPr>
        <w:t xml:space="preserve">results of trials and systematic reviews and to consider what </w:t>
      </w:r>
      <w:r w:rsidR="00B63DB1">
        <w:rPr>
          <w:sz w:val="24"/>
        </w:rPr>
        <w:t xml:space="preserve">those </w:t>
      </w:r>
      <w:r w:rsidR="00A6579D">
        <w:rPr>
          <w:sz w:val="24"/>
        </w:rPr>
        <w:t>results might mean to their practice.</w:t>
      </w:r>
      <w:r w:rsidR="00B63DB1">
        <w:rPr>
          <w:sz w:val="24"/>
        </w:rPr>
        <w:t xml:space="preserve"> </w:t>
      </w:r>
    </w:p>
    <w:p w:rsidR="00B63DB1" w:rsidRPr="003D5453" w:rsidRDefault="00B63DB1">
      <w:pPr>
        <w:rPr>
          <w:b/>
          <w:sz w:val="24"/>
        </w:rPr>
      </w:pPr>
      <w:r w:rsidRPr="003D5453">
        <w:rPr>
          <w:b/>
          <w:sz w:val="24"/>
        </w:rPr>
        <w:t>Format</w:t>
      </w:r>
    </w:p>
    <w:p w:rsidR="00B63DB1" w:rsidRDefault="00B63DB1">
      <w:pPr>
        <w:rPr>
          <w:sz w:val="24"/>
        </w:rPr>
      </w:pPr>
      <w:r w:rsidRPr="00B63DB1">
        <w:rPr>
          <w:sz w:val="24"/>
        </w:rPr>
        <w:t xml:space="preserve">The course </w:t>
      </w:r>
      <w:r>
        <w:rPr>
          <w:sz w:val="24"/>
        </w:rPr>
        <w:t>will consist of a mix of lectures and workshops. For the workshops, prior to the course participants will be directed to contemporary open-access trials and systematic reviews (titles TBC) to read. These will be critically discussed using a critical appraisal tool in small groups followed by large group discussion.</w:t>
      </w:r>
      <w:r w:rsidR="00751B1D">
        <w:rPr>
          <w:sz w:val="24"/>
        </w:rPr>
        <w:t xml:space="preserve"> At all times the emphasis will be on keeping it clinically relevant, fun and interactive.</w:t>
      </w:r>
    </w:p>
    <w:p w:rsidR="00A6579D" w:rsidRPr="003D5453" w:rsidRDefault="00A6579D">
      <w:pPr>
        <w:rPr>
          <w:b/>
          <w:sz w:val="24"/>
        </w:rPr>
      </w:pPr>
      <w:r w:rsidRPr="003D5453">
        <w:rPr>
          <w:b/>
          <w:sz w:val="24"/>
        </w:rPr>
        <w:t>Course Objectives</w:t>
      </w:r>
      <w:r w:rsidR="003D5453">
        <w:rPr>
          <w:b/>
          <w:sz w:val="24"/>
        </w:rPr>
        <w:t>/ Learning outcomes</w:t>
      </w:r>
    </w:p>
    <w:p w:rsidR="00A6579D" w:rsidRDefault="00A6579D">
      <w:pPr>
        <w:rPr>
          <w:sz w:val="24"/>
        </w:rPr>
      </w:pPr>
      <w:r w:rsidRPr="00A6579D">
        <w:rPr>
          <w:sz w:val="24"/>
        </w:rPr>
        <w:t>At the end of the course participants should be able to:</w:t>
      </w:r>
    </w:p>
    <w:p w:rsidR="00A6579D" w:rsidRDefault="00B63DB1" w:rsidP="00A6579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</w:t>
      </w:r>
      <w:r w:rsidR="00A6579D" w:rsidRPr="00A6579D">
        <w:rPr>
          <w:sz w:val="24"/>
        </w:rPr>
        <w:t>escribe the various designs of clinical trials</w:t>
      </w:r>
      <w:r w:rsidR="00A6579D">
        <w:rPr>
          <w:sz w:val="24"/>
        </w:rPr>
        <w:t xml:space="preserve"> and </w:t>
      </w:r>
      <w:r>
        <w:rPr>
          <w:sz w:val="24"/>
        </w:rPr>
        <w:t xml:space="preserve">discuss </w:t>
      </w:r>
      <w:r w:rsidR="00A6579D">
        <w:rPr>
          <w:sz w:val="24"/>
        </w:rPr>
        <w:t>what each design offers</w:t>
      </w:r>
    </w:p>
    <w:p w:rsidR="00B63DB1" w:rsidRDefault="00B63DB1" w:rsidP="00A6579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describe the basic structure of a systematic review</w:t>
      </w:r>
    </w:p>
    <w:p w:rsidR="00A6579D" w:rsidRDefault="00B63DB1" w:rsidP="00A6579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understand and identify the major risks of bias and threats to internal validity in RCTs and Systematic reviews</w:t>
      </w:r>
    </w:p>
    <w:p w:rsidR="00B63DB1" w:rsidRDefault="00B63DB1" w:rsidP="00A6579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interpret and appraise a basic meta-analysis</w:t>
      </w:r>
    </w:p>
    <w:p w:rsidR="00B63DB1" w:rsidRDefault="00B63DB1" w:rsidP="00A6579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interpret the meaning of a range of</w:t>
      </w:r>
      <w:r w:rsidR="00B66676">
        <w:rPr>
          <w:sz w:val="24"/>
        </w:rPr>
        <w:t xml:space="preserve"> different commonly used effect</w:t>
      </w:r>
      <w:r>
        <w:rPr>
          <w:sz w:val="24"/>
        </w:rPr>
        <w:t xml:space="preserve"> sizes</w:t>
      </w:r>
    </w:p>
    <w:p w:rsidR="00B63DB1" w:rsidRDefault="00B63DB1" w:rsidP="00A6579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critically discuss the applicability of </w:t>
      </w:r>
      <w:r w:rsidR="007244EA">
        <w:rPr>
          <w:sz w:val="24"/>
        </w:rPr>
        <w:t xml:space="preserve">research </w:t>
      </w:r>
      <w:r>
        <w:rPr>
          <w:sz w:val="24"/>
        </w:rPr>
        <w:t>results to everyday practice.</w:t>
      </w:r>
    </w:p>
    <w:p w:rsidR="00AE5E4F" w:rsidRDefault="00AE5E4F" w:rsidP="00AE5E4F">
      <w:pPr>
        <w:rPr>
          <w:b/>
          <w:sz w:val="24"/>
        </w:rPr>
      </w:pPr>
      <w:r w:rsidRPr="00AE5E4F">
        <w:rPr>
          <w:b/>
          <w:sz w:val="24"/>
        </w:rPr>
        <w:t>Course Tutor</w:t>
      </w:r>
    </w:p>
    <w:p w:rsidR="00AE5E4F" w:rsidRDefault="00AE5E4F" w:rsidP="00AE5E4F">
      <w:pPr>
        <w:rPr>
          <w:sz w:val="24"/>
        </w:rPr>
      </w:pPr>
      <w:r w:rsidRPr="00AE5E4F">
        <w:rPr>
          <w:sz w:val="24"/>
        </w:rPr>
        <w:t>Dr Neil O’Connell</w:t>
      </w:r>
      <w:r>
        <w:rPr>
          <w:sz w:val="24"/>
        </w:rPr>
        <w:t xml:space="preserve"> is a </w:t>
      </w:r>
      <w:r w:rsidR="00B66676">
        <w:rPr>
          <w:sz w:val="24"/>
        </w:rPr>
        <w:t>Senior L</w:t>
      </w:r>
      <w:r>
        <w:rPr>
          <w:sz w:val="24"/>
        </w:rPr>
        <w:t xml:space="preserve">ecturer in Physiotherapy in Brunel University, London, UK. </w:t>
      </w:r>
      <w:r w:rsidRPr="00AE5E4F">
        <w:rPr>
          <w:sz w:val="24"/>
        </w:rPr>
        <w:t xml:space="preserve">He divides his time between research and </w:t>
      </w:r>
      <w:r>
        <w:rPr>
          <w:sz w:val="24"/>
        </w:rPr>
        <w:t xml:space="preserve">teaching </w:t>
      </w:r>
      <w:r w:rsidRPr="00AE5E4F">
        <w:rPr>
          <w:sz w:val="24"/>
        </w:rPr>
        <w:t>and previously worked extensively as a musculoskeletal physiotherapist.</w:t>
      </w:r>
      <w:r w:rsidR="00D13737">
        <w:rPr>
          <w:sz w:val="24"/>
        </w:rPr>
        <w:t xml:space="preserve"> He lead</w:t>
      </w:r>
      <w:r>
        <w:rPr>
          <w:sz w:val="24"/>
        </w:rPr>
        <w:t xml:space="preserve">s a module in the principles and practice of evidence based healthcare for post-graduate physiotherapists and occupational therapists. </w:t>
      </w:r>
      <w:r w:rsidR="00D13737">
        <w:rPr>
          <w:sz w:val="24"/>
        </w:rPr>
        <w:t xml:space="preserve">Neil’s </w:t>
      </w:r>
      <w:r w:rsidRPr="00AE5E4F">
        <w:rPr>
          <w:sz w:val="24"/>
        </w:rPr>
        <w:t>main research interests are chronic low back pain with a fo</w:t>
      </w:r>
      <w:r w:rsidR="00D13737">
        <w:rPr>
          <w:sz w:val="24"/>
        </w:rPr>
        <w:t xml:space="preserve">cus on evidence based practice and he has </w:t>
      </w:r>
      <w:r w:rsidR="003D5453">
        <w:rPr>
          <w:sz w:val="24"/>
        </w:rPr>
        <w:t xml:space="preserve">published extensively in this area. He has </w:t>
      </w:r>
      <w:r w:rsidR="00D13737">
        <w:rPr>
          <w:sz w:val="24"/>
        </w:rPr>
        <w:t>authored</w:t>
      </w:r>
      <w:r w:rsidR="003D5453">
        <w:rPr>
          <w:sz w:val="24"/>
        </w:rPr>
        <w:t xml:space="preserve"> and co-authored</w:t>
      </w:r>
      <w:r w:rsidR="00D13737">
        <w:rPr>
          <w:sz w:val="24"/>
        </w:rPr>
        <w:t xml:space="preserve"> a number of published systematic reviews.</w:t>
      </w:r>
    </w:p>
    <w:p w:rsidR="00751B1D" w:rsidRDefault="00AE5E4F">
      <w:pPr>
        <w:rPr>
          <w:sz w:val="24"/>
        </w:rPr>
      </w:pPr>
      <w:r>
        <w:rPr>
          <w:sz w:val="24"/>
        </w:rPr>
        <w:lastRenderedPageBreak/>
        <w:t>Neil is a member of the editorial board of the Cochrane Collaboration</w:t>
      </w:r>
      <w:r w:rsidR="00D13737">
        <w:rPr>
          <w:sz w:val="24"/>
        </w:rPr>
        <w:t>’</w:t>
      </w:r>
      <w:r>
        <w:rPr>
          <w:sz w:val="24"/>
        </w:rPr>
        <w:t>s Pain, Palliative and Supportive Care (PaPaS) group, is the section editor for clinical trials and</w:t>
      </w:r>
      <w:r w:rsidR="00D13737">
        <w:rPr>
          <w:sz w:val="24"/>
        </w:rPr>
        <w:t xml:space="preserve"> systematic reviews for</w:t>
      </w:r>
      <w:r>
        <w:rPr>
          <w:sz w:val="24"/>
        </w:rPr>
        <w:t xml:space="preserve"> the pain science blog</w:t>
      </w:r>
      <w:r w:rsidR="00D13737">
        <w:rPr>
          <w:sz w:val="24"/>
        </w:rPr>
        <w:t xml:space="preserve"> Body in Mind (</w:t>
      </w:r>
      <w:hyperlink r:id="rId5" w:history="1">
        <w:r w:rsidRPr="000B1746">
          <w:rPr>
            <w:rStyle w:val="Hyperlink"/>
            <w:sz w:val="24"/>
          </w:rPr>
          <w:t>www.bodyinmind.org</w:t>
        </w:r>
      </w:hyperlink>
      <w:r w:rsidR="00D13737">
        <w:rPr>
          <w:sz w:val="24"/>
        </w:rPr>
        <w:t>)</w:t>
      </w:r>
      <w:r>
        <w:rPr>
          <w:sz w:val="24"/>
        </w:rPr>
        <w:t xml:space="preserve"> an</w:t>
      </w:r>
      <w:r w:rsidR="00D13737">
        <w:rPr>
          <w:sz w:val="24"/>
        </w:rPr>
        <w:t>d is currently a member of the G</w:t>
      </w:r>
      <w:r>
        <w:rPr>
          <w:sz w:val="24"/>
        </w:rPr>
        <w:t xml:space="preserve">uideline </w:t>
      </w:r>
      <w:r w:rsidR="00D13737">
        <w:rPr>
          <w:sz w:val="24"/>
        </w:rPr>
        <w:t>D</w:t>
      </w:r>
      <w:r>
        <w:rPr>
          <w:sz w:val="24"/>
        </w:rPr>
        <w:t xml:space="preserve">evelopment </w:t>
      </w:r>
      <w:r w:rsidR="00D13737">
        <w:rPr>
          <w:sz w:val="24"/>
        </w:rPr>
        <w:t>G</w:t>
      </w:r>
      <w:r>
        <w:rPr>
          <w:sz w:val="24"/>
        </w:rPr>
        <w:t xml:space="preserve">roup </w:t>
      </w:r>
      <w:r w:rsidR="00D13737">
        <w:rPr>
          <w:sz w:val="24"/>
        </w:rPr>
        <w:t>for the UK’s National Institute of Health and Care Excellence (NICE) updated guideline for the management of low back pain.</w:t>
      </w:r>
    </w:p>
    <w:p w:rsidR="003D5453" w:rsidRPr="003D5453" w:rsidRDefault="003D5453">
      <w:pPr>
        <w:rPr>
          <w:b/>
          <w:sz w:val="24"/>
        </w:rPr>
      </w:pPr>
      <w:r w:rsidRPr="003D5453">
        <w:rPr>
          <w:b/>
          <w:sz w:val="24"/>
        </w:rPr>
        <w:t>Course Schedule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25"/>
        <w:gridCol w:w="7791"/>
      </w:tblGrid>
      <w:tr w:rsidR="00751B1D" w:rsidTr="003D5453">
        <w:trPr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:rsidR="00751B1D" w:rsidRDefault="00751B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8000" w:type="dxa"/>
            <w:shd w:val="clear" w:color="auto" w:fill="D9D9D9" w:themeFill="background1" w:themeFillShade="D9"/>
          </w:tcPr>
          <w:p w:rsidR="00751B1D" w:rsidRDefault="00751B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Session</w:t>
            </w:r>
          </w:p>
        </w:tc>
      </w:tr>
      <w:tr w:rsidR="00751B1D" w:rsidTr="003D5453">
        <w:trPr>
          <w:jc w:val="center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:rsidR="00751B1D" w:rsidRDefault="00751B1D" w:rsidP="007244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 1</w:t>
            </w:r>
          </w:p>
        </w:tc>
      </w:tr>
      <w:tr w:rsidR="00751B1D" w:rsidTr="003D5453">
        <w:trPr>
          <w:trHeight w:val="989"/>
          <w:jc w:val="center"/>
        </w:trPr>
        <w:tc>
          <w:tcPr>
            <w:tcW w:w="1242" w:type="dxa"/>
          </w:tcPr>
          <w:p w:rsidR="00751B1D" w:rsidRDefault="00751B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9:00</w:t>
            </w:r>
          </w:p>
        </w:tc>
        <w:tc>
          <w:tcPr>
            <w:tcW w:w="8000" w:type="dxa"/>
          </w:tcPr>
          <w:p w:rsidR="00751B1D" w:rsidRPr="007244EA" w:rsidRDefault="00751B1D" w:rsidP="00751B1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7244EA">
              <w:rPr>
                <w:sz w:val="24"/>
              </w:rPr>
              <w:t>Intro, housekeeping</w:t>
            </w:r>
          </w:p>
          <w:p w:rsidR="00751B1D" w:rsidRPr="007244EA" w:rsidRDefault="00751B1D" w:rsidP="00751B1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7244EA">
              <w:rPr>
                <w:sz w:val="24"/>
              </w:rPr>
              <w:t>Lect</w:t>
            </w:r>
            <w:r w:rsidR="00B66676">
              <w:rPr>
                <w:sz w:val="24"/>
              </w:rPr>
              <w:t xml:space="preserve">ure: Trials, reviews and EBP - </w:t>
            </w:r>
            <w:r w:rsidRPr="007244EA">
              <w:rPr>
                <w:sz w:val="24"/>
              </w:rPr>
              <w:t>Do we need them</w:t>
            </w:r>
            <w:r w:rsidR="003D5453">
              <w:rPr>
                <w:sz w:val="24"/>
              </w:rPr>
              <w:t>?</w:t>
            </w:r>
            <w:r w:rsidRPr="007244EA">
              <w:rPr>
                <w:sz w:val="24"/>
              </w:rPr>
              <w:t xml:space="preserve"> </w:t>
            </w:r>
          </w:p>
          <w:p w:rsidR="00751B1D" w:rsidRPr="007244EA" w:rsidRDefault="00751B1D" w:rsidP="00751B1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7244EA">
              <w:rPr>
                <w:sz w:val="24"/>
              </w:rPr>
              <w:t>Q&amp;A</w:t>
            </w:r>
          </w:p>
        </w:tc>
      </w:tr>
      <w:tr w:rsidR="00751B1D" w:rsidTr="003D5453">
        <w:trPr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:rsidR="00751B1D" w:rsidRDefault="00751B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10:30</w:t>
            </w:r>
          </w:p>
        </w:tc>
        <w:tc>
          <w:tcPr>
            <w:tcW w:w="8000" w:type="dxa"/>
            <w:shd w:val="clear" w:color="auto" w:fill="D9D9D9" w:themeFill="background1" w:themeFillShade="D9"/>
          </w:tcPr>
          <w:p w:rsidR="00751B1D" w:rsidRPr="007244EA" w:rsidRDefault="00751B1D">
            <w:pPr>
              <w:rPr>
                <w:sz w:val="24"/>
              </w:rPr>
            </w:pPr>
            <w:r w:rsidRPr="007244EA">
              <w:rPr>
                <w:sz w:val="24"/>
              </w:rPr>
              <w:t xml:space="preserve">Coffee </w:t>
            </w:r>
          </w:p>
        </w:tc>
      </w:tr>
      <w:tr w:rsidR="00751B1D" w:rsidTr="003D5453">
        <w:trPr>
          <w:jc w:val="center"/>
        </w:trPr>
        <w:tc>
          <w:tcPr>
            <w:tcW w:w="1242" w:type="dxa"/>
          </w:tcPr>
          <w:p w:rsidR="00751B1D" w:rsidRDefault="00751B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10:50</w:t>
            </w:r>
          </w:p>
        </w:tc>
        <w:tc>
          <w:tcPr>
            <w:tcW w:w="8000" w:type="dxa"/>
          </w:tcPr>
          <w:p w:rsidR="00751B1D" w:rsidRPr="007244EA" w:rsidRDefault="00751B1D" w:rsidP="00751B1D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7244EA">
              <w:rPr>
                <w:sz w:val="24"/>
              </w:rPr>
              <w:t xml:space="preserve">Lecture: The basics of critically reading any paper </w:t>
            </w:r>
          </w:p>
          <w:p w:rsidR="00751B1D" w:rsidRPr="007244EA" w:rsidRDefault="00751B1D" w:rsidP="00751B1D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7244EA">
              <w:rPr>
                <w:sz w:val="24"/>
              </w:rPr>
              <w:t>Q&amp;A</w:t>
            </w:r>
          </w:p>
          <w:p w:rsidR="00751B1D" w:rsidRPr="007244EA" w:rsidRDefault="00751B1D" w:rsidP="00751B1D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7244EA">
              <w:rPr>
                <w:sz w:val="24"/>
              </w:rPr>
              <w:t>Lecture: Interpreting common effect sizes + short group task</w:t>
            </w:r>
          </w:p>
          <w:p w:rsidR="00751B1D" w:rsidRPr="007244EA" w:rsidRDefault="00751B1D" w:rsidP="00751B1D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7244EA">
              <w:rPr>
                <w:sz w:val="24"/>
              </w:rPr>
              <w:t>Q&amp;A</w:t>
            </w:r>
          </w:p>
        </w:tc>
      </w:tr>
      <w:tr w:rsidR="00751B1D" w:rsidTr="003D5453">
        <w:trPr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:rsidR="00751B1D" w:rsidRDefault="00751B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12:30</w:t>
            </w:r>
          </w:p>
        </w:tc>
        <w:tc>
          <w:tcPr>
            <w:tcW w:w="8000" w:type="dxa"/>
            <w:shd w:val="clear" w:color="auto" w:fill="D9D9D9" w:themeFill="background1" w:themeFillShade="D9"/>
          </w:tcPr>
          <w:p w:rsidR="00751B1D" w:rsidRPr="007244EA" w:rsidRDefault="00751B1D">
            <w:pPr>
              <w:rPr>
                <w:sz w:val="24"/>
              </w:rPr>
            </w:pPr>
            <w:r w:rsidRPr="007244EA">
              <w:rPr>
                <w:sz w:val="24"/>
              </w:rPr>
              <w:t>Lunch</w:t>
            </w:r>
          </w:p>
        </w:tc>
      </w:tr>
      <w:tr w:rsidR="00751B1D" w:rsidTr="003D5453">
        <w:trPr>
          <w:jc w:val="center"/>
        </w:trPr>
        <w:tc>
          <w:tcPr>
            <w:tcW w:w="1242" w:type="dxa"/>
          </w:tcPr>
          <w:p w:rsidR="00751B1D" w:rsidRDefault="00751B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1:30</w:t>
            </w:r>
          </w:p>
        </w:tc>
        <w:tc>
          <w:tcPr>
            <w:tcW w:w="8000" w:type="dxa"/>
          </w:tcPr>
          <w:p w:rsidR="00751B1D" w:rsidRPr="007244EA" w:rsidRDefault="00751B1D" w:rsidP="00751B1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7244EA">
              <w:rPr>
                <w:sz w:val="24"/>
              </w:rPr>
              <w:t xml:space="preserve">Lecture: the basics of RCTS </w:t>
            </w:r>
            <w:r w:rsidR="003D5453" w:rsidRPr="007244EA">
              <w:rPr>
                <w:sz w:val="24"/>
              </w:rPr>
              <w:t>- what</w:t>
            </w:r>
            <w:r w:rsidR="003D5453">
              <w:rPr>
                <w:sz w:val="24"/>
              </w:rPr>
              <w:t xml:space="preserve"> should I</w:t>
            </w:r>
            <w:r w:rsidRPr="007244EA">
              <w:rPr>
                <w:sz w:val="24"/>
              </w:rPr>
              <w:t xml:space="preserve"> look for?</w:t>
            </w:r>
          </w:p>
          <w:p w:rsidR="00751B1D" w:rsidRPr="007244EA" w:rsidRDefault="00751B1D" w:rsidP="00751B1D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7244EA">
              <w:rPr>
                <w:sz w:val="24"/>
              </w:rPr>
              <w:t>Q&amp;A</w:t>
            </w:r>
          </w:p>
        </w:tc>
      </w:tr>
      <w:tr w:rsidR="00751B1D" w:rsidTr="003D5453">
        <w:trPr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:rsidR="00751B1D" w:rsidRDefault="00751B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2:40</w:t>
            </w:r>
          </w:p>
        </w:tc>
        <w:tc>
          <w:tcPr>
            <w:tcW w:w="8000" w:type="dxa"/>
            <w:shd w:val="clear" w:color="auto" w:fill="D9D9D9" w:themeFill="background1" w:themeFillShade="D9"/>
          </w:tcPr>
          <w:p w:rsidR="00751B1D" w:rsidRPr="007244EA" w:rsidRDefault="00751B1D">
            <w:pPr>
              <w:rPr>
                <w:sz w:val="24"/>
              </w:rPr>
            </w:pPr>
            <w:r w:rsidRPr="007244EA">
              <w:rPr>
                <w:sz w:val="24"/>
              </w:rPr>
              <w:t xml:space="preserve">Coffee </w:t>
            </w:r>
          </w:p>
        </w:tc>
      </w:tr>
      <w:tr w:rsidR="00751B1D" w:rsidTr="003D5453">
        <w:trPr>
          <w:jc w:val="center"/>
        </w:trPr>
        <w:tc>
          <w:tcPr>
            <w:tcW w:w="1242" w:type="dxa"/>
          </w:tcPr>
          <w:p w:rsidR="00751B1D" w:rsidRDefault="00751B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3:00</w:t>
            </w:r>
          </w:p>
        </w:tc>
        <w:tc>
          <w:tcPr>
            <w:tcW w:w="8000" w:type="dxa"/>
          </w:tcPr>
          <w:p w:rsidR="00751B1D" w:rsidRPr="007244EA" w:rsidRDefault="007244EA" w:rsidP="00751B1D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7244EA">
              <w:rPr>
                <w:sz w:val="24"/>
              </w:rPr>
              <w:t>Group session: Small g</w:t>
            </w:r>
            <w:r w:rsidR="00751B1D" w:rsidRPr="007244EA">
              <w:rPr>
                <w:sz w:val="24"/>
              </w:rPr>
              <w:t>roups apply CA</w:t>
            </w:r>
            <w:r w:rsidR="004C0999">
              <w:rPr>
                <w:sz w:val="24"/>
              </w:rPr>
              <w:t>SP critical appraisal tool to 2</w:t>
            </w:r>
            <w:r w:rsidR="00751B1D" w:rsidRPr="007244EA">
              <w:rPr>
                <w:sz w:val="24"/>
              </w:rPr>
              <w:t xml:space="preserve"> RCT</w:t>
            </w:r>
            <w:r w:rsidR="004C0999">
              <w:rPr>
                <w:sz w:val="24"/>
              </w:rPr>
              <w:t>s</w:t>
            </w:r>
          </w:p>
          <w:p w:rsidR="00751B1D" w:rsidRPr="007244EA" w:rsidRDefault="00751B1D" w:rsidP="00751B1D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7244EA">
              <w:rPr>
                <w:sz w:val="24"/>
              </w:rPr>
              <w:t xml:space="preserve">Group discussion </w:t>
            </w:r>
          </w:p>
        </w:tc>
      </w:tr>
      <w:tr w:rsidR="00751B1D" w:rsidTr="003D5453">
        <w:trPr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:rsidR="00751B1D" w:rsidRDefault="00751B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5pm</w:t>
            </w:r>
          </w:p>
        </w:tc>
        <w:tc>
          <w:tcPr>
            <w:tcW w:w="8000" w:type="dxa"/>
            <w:shd w:val="clear" w:color="auto" w:fill="D9D9D9" w:themeFill="background1" w:themeFillShade="D9"/>
          </w:tcPr>
          <w:p w:rsidR="00751B1D" w:rsidRPr="007244EA" w:rsidRDefault="00751B1D" w:rsidP="00751B1D">
            <w:pPr>
              <w:rPr>
                <w:sz w:val="24"/>
              </w:rPr>
            </w:pPr>
            <w:r w:rsidRPr="007244EA">
              <w:rPr>
                <w:sz w:val="24"/>
              </w:rPr>
              <w:t>Finish</w:t>
            </w:r>
          </w:p>
        </w:tc>
      </w:tr>
      <w:tr w:rsidR="00751B1D" w:rsidTr="003D5453">
        <w:trPr>
          <w:jc w:val="center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:rsidR="00751B1D" w:rsidRPr="007244EA" w:rsidRDefault="00751B1D" w:rsidP="007244EA">
            <w:pPr>
              <w:jc w:val="center"/>
              <w:rPr>
                <w:b/>
                <w:sz w:val="24"/>
              </w:rPr>
            </w:pPr>
            <w:r w:rsidRPr="007244EA">
              <w:rPr>
                <w:b/>
                <w:sz w:val="24"/>
              </w:rPr>
              <w:t>Day 2</w:t>
            </w:r>
          </w:p>
        </w:tc>
      </w:tr>
      <w:tr w:rsidR="00751B1D" w:rsidTr="003D5453">
        <w:trPr>
          <w:jc w:val="center"/>
        </w:trPr>
        <w:tc>
          <w:tcPr>
            <w:tcW w:w="1242" w:type="dxa"/>
          </w:tcPr>
          <w:p w:rsidR="00751B1D" w:rsidRDefault="00751B1D" w:rsidP="00751B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9:00</w:t>
            </w:r>
          </w:p>
        </w:tc>
        <w:tc>
          <w:tcPr>
            <w:tcW w:w="8000" w:type="dxa"/>
          </w:tcPr>
          <w:p w:rsidR="00751B1D" w:rsidRPr="007244EA" w:rsidRDefault="00751B1D" w:rsidP="007244EA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7244EA">
              <w:rPr>
                <w:sz w:val="24"/>
              </w:rPr>
              <w:t>Lecture: Basics of systematic reviews – what should I look for?</w:t>
            </w:r>
          </w:p>
          <w:p w:rsidR="00751B1D" w:rsidRPr="007244EA" w:rsidRDefault="00751B1D" w:rsidP="007244EA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7244EA">
              <w:rPr>
                <w:sz w:val="24"/>
              </w:rPr>
              <w:t>Q&amp;A</w:t>
            </w:r>
          </w:p>
        </w:tc>
      </w:tr>
      <w:tr w:rsidR="00751B1D" w:rsidTr="003D5453">
        <w:trPr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:rsidR="00751B1D" w:rsidRDefault="00751B1D" w:rsidP="00751B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10:15</w:t>
            </w:r>
          </w:p>
        </w:tc>
        <w:tc>
          <w:tcPr>
            <w:tcW w:w="8000" w:type="dxa"/>
            <w:shd w:val="clear" w:color="auto" w:fill="D9D9D9" w:themeFill="background1" w:themeFillShade="D9"/>
          </w:tcPr>
          <w:p w:rsidR="00751B1D" w:rsidRPr="007244EA" w:rsidRDefault="00751B1D" w:rsidP="00751B1D">
            <w:pPr>
              <w:rPr>
                <w:sz w:val="24"/>
              </w:rPr>
            </w:pPr>
            <w:r w:rsidRPr="007244EA">
              <w:rPr>
                <w:sz w:val="24"/>
              </w:rPr>
              <w:t xml:space="preserve">Coffee </w:t>
            </w:r>
          </w:p>
        </w:tc>
      </w:tr>
      <w:tr w:rsidR="00751B1D" w:rsidTr="003D5453">
        <w:trPr>
          <w:jc w:val="center"/>
        </w:trPr>
        <w:tc>
          <w:tcPr>
            <w:tcW w:w="1242" w:type="dxa"/>
          </w:tcPr>
          <w:p w:rsidR="00751B1D" w:rsidRDefault="00751B1D" w:rsidP="00751B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10:30</w:t>
            </w:r>
          </w:p>
        </w:tc>
        <w:tc>
          <w:tcPr>
            <w:tcW w:w="8000" w:type="dxa"/>
          </w:tcPr>
          <w:p w:rsidR="00751B1D" w:rsidRPr="007244EA" w:rsidRDefault="00751B1D" w:rsidP="007244EA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7244EA">
              <w:rPr>
                <w:sz w:val="24"/>
              </w:rPr>
              <w:t xml:space="preserve">Lecture: Making sense of meta-analysis </w:t>
            </w:r>
          </w:p>
          <w:p w:rsidR="00751B1D" w:rsidRPr="007244EA" w:rsidRDefault="00751B1D" w:rsidP="007244EA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7244EA">
              <w:rPr>
                <w:sz w:val="24"/>
              </w:rPr>
              <w:t>Q&amp;A</w:t>
            </w:r>
          </w:p>
        </w:tc>
      </w:tr>
      <w:tr w:rsidR="00751B1D" w:rsidTr="003D5453">
        <w:trPr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:rsidR="00751B1D" w:rsidRDefault="00751B1D" w:rsidP="00751B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12:00</w:t>
            </w:r>
          </w:p>
        </w:tc>
        <w:tc>
          <w:tcPr>
            <w:tcW w:w="8000" w:type="dxa"/>
            <w:shd w:val="clear" w:color="auto" w:fill="D9D9D9" w:themeFill="background1" w:themeFillShade="D9"/>
          </w:tcPr>
          <w:p w:rsidR="00751B1D" w:rsidRPr="007244EA" w:rsidRDefault="00751B1D" w:rsidP="00751B1D">
            <w:pPr>
              <w:rPr>
                <w:sz w:val="24"/>
              </w:rPr>
            </w:pPr>
            <w:r w:rsidRPr="007244EA">
              <w:rPr>
                <w:sz w:val="24"/>
              </w:rPr>
              <w:t>Lunch</w:t>
            </w:r>
          </w:p>
        </w:tc>
      </w:tr>
      <w:tr w:rsidR="00751B1D" w:rsidTr="003D5453">
        <w:trPr>
          <w:jc w:val="center"/>
        </w:trPr>
        <w:tc>
          <w:tcPr>
            <w:tcW w:w="1242" w:type="dxa"/>
          </w:tcPr>
          <w:p w:rsidR="00751B1D" w:rsidRDefault="00751B1D" w:rsidP="00751B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1pm </w:t>
            </w:r>
          </w:p>
        </w:tc>
        <w:tc>
          <w:tcPr>
            <w:tcW w:w="8000" w:type="dxa"/>
          </w:tcPr>
          <w:p w:rsidR="007244EA" w:rsidRPr="007244EA" w:rsidRDefault="007244EA" w:rsidP="007244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7244EA">
              <w:rPr>
                <w:sz w:val="24"/>
              </w:rPr>
              <w:t>Group session: Small g</w:t>
            </w:r>
            <w:r w:rsidR="00751B1D" w:rsidRPr="007244EA">
              <w:rPr>
                <w:sz w:val="24"/>
              </w:rPr>
              <w:t>roups apply C</w:t>
            </w:r>
            <w:r w:rsidR="004C0999">
              <w:rPr>
                <w:sz w:val="24"/>
              </w:rPr>
              <w:t>ASP critical appraisal tool to 2 reviews</w:t>
            </w:r>
          </w:p>
          <w:p w:rsidR="007244EA" w:rsidRPr="007244EA" w:rsidRDefault="007244EA" w:rsidP="007244E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7244EA">
              <w:rPr>
                <w:sz w:val="24"/>
              </w:rPr>
              <w:t>Group discussion</w:t>
            </w:r>
          </w:p>
        </w:tc>
      </w:tr>
      <w:tr w:rsidR="007244EA" w:rsidTr="003D5453">
        <w:trPr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:rsidR="007244EA" w:rsidRDefault="007244EA" w:rsidP="00751B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3pm</w:t>
            </w:r>
          </w:p>
        </w:tc>
        <w:tc>
          <w:tcPr>
            <w:tcW w:w="8000" w:type="dxa"/>
            <w:shd w:val="clear" w:color="auto" w:fill="D9D9D9" w:themeFill="background1" w:themeFillShade="D9"/>
          </w:tcPr>
          <w:p w:rsidR="007244EA" w:rsidRPr="007244EA" w:rsidRDefault="007244EA" w:rsidP="007244EA">
            <w:pPr>
              <w:rPr>
                <w:sz w:val="24"/>
              </w:rPr>
            </w:pPr>
            <w:r w:rsidRPr="007244EA">
              <w:rPr>
                <w:sz w:val="24"/>
              </w:rPr>
              <w:t>Coffee</w:t>
            </w:r>
          </w:p>
        </w:tc>
      </w:tr>
      <w:tr w:rsidR="007244EA" w:rsidTr="003D5453">
        <w:trPr>
          <w:jc w:val="center"/>
        </w:trPr>
        <w:tc>
          <w:tcPr>
            <w:tcW w:w="1242" w:type="dxa"/>
          </w:tcPr>
          <w:p w:rsidR="007244EA" w:rsidRDefault="007244EA" w:rsidP="00751B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3:30</w:t>
            </w:r>
          </w:p>
        </w:tc>
        <w:tc>
          <w:tcPr>
            <w:tcW w:w="8000" w:type="dxa"/>
          </w:tcPr>
          <w:p w:rsidR="004C0999" w:rsidRDefault="004C0999" w:rsidP="007244EA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Group effect size task</w:t>
            </w:r>
          </w:p>
          <w:p w:rsidR="007244EA" w:rsidRPr="007244EA" w:rsidRDefault="007244EA" w:rsidP="007244EA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7244EA">
              <w:rPr>
                <w:sz w:val="24"/>
              </w:rPr>
              <w:t>Lecture: Round up and sticky messages</w:t>
            </w:r>
          </w:p>
          <w:p w:rsidR="007244EA" w:rsidRPr="007244EA" w:rsidRDefault="007244EA" w:rsidP="007244EA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7244EA">
              <w:rPr>
                <w:sz w:val="24"/>
              </w:rPr>
              <w:t>Group discussion</w:t>
            </w:r>
          </w:p>
        </w:tc>
      </w:tr>
      <w:tr w:rsidR="007244EA" w:rsidTr="003D5453">
        <w:trPr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:rsidR="007244EA" w:rsidRDefault="0074768D" w:rsidP="00751B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5pm</w:t>
            </w:r>
            <w:bookmarkStart w:id="0" w:name="_GoBack"/>
            <w:bookmarkEnd w:id="0"/>
          </w:p>
        </w:tc>
        <w:tc>
          <w:tcPr>
            <w:tcW w:w="8000" w:type="dxa"/>
            <w:shd w:val="clear" w:color="auto" w:fill="D9D9D9" w:themeFill="background1" w:themeFillShade="D9"/>
          </w:tcPr>
          <w:p w:rsidR="007244EA" w:rsidRPr="007244EA" w:rsidRDefault="007244EA" w:rsidP="007244EA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Finish</w:t>
            </w:r>
          </w:p>
        </w:tc>
      </w:tr>
    </w:tbl>
    <w:p w:rsidR="00751B1D" w:rsidRDefault="00751B1D">
      <w:pPr>
        <w:rPr>
          <w:b/>
          <w:sz w:val="24"/>
        </w:rPr>
      </w:pPr>
    </w:p>
    <w:p w:rsidR="007244EA" w:rsidRPr="003D5453" w:rsidRDefault="007244EA">
      <w:pPr>
        <w:rPr>
          <w:b/>
          <w:sz w:val="24"/>
        </w:rPr>
      </w:pPr>
      <w:r w:rsidRPr="003D5453">
        <w:rPr>
          <w:b/>
          <w:sz w:val="24"/>
        </w:rPr>
        <w:t>Bibliography (Recommended reading)</w:t>
      </w:r>
    </w:p>
    <w:p w:rsidR="00C54937" w:rsidRDefault="00C54937">
      <w:pPr>
        <w:rPr>
          <w:sz w:val="24"/>
        </w:rPr>
      </w:pPr>
      <w:r w:rsidRPr="00C54937">
        <w:rPr>
          <w:sz w:val="24"/>
        </w:rPr>
        <w:lastRenderedPageBreak/>
        <w:t>Critical Appraisal Skills Programme (CASP-UK) “Making sense of evidence” http://www.casp-uk.net/ Accessed 2/6/14</w:t>
      </w:r>
    </w:p>
    <w:p w:rsidR="007244EA" w:rsidRDefault="007244EA">
      <w:pPr>
        <w:rPr>
          <w:sz w:val="24"/>
        </w:rPr>
      </w:pPr>
      <w:proofErr w:type="spellStart"/>
      <w:r w:rsidRPr="007244EA">
        <w:rPr>
          <w:sz w:val="24"/>
        </w:rPr>
        <w:t>Greenhalgh</w:t>
      </w:r>
      <w:proofErr w:type="spellEnd"/>
      <w:r w:rsidRPr="007244EA">
        <w:rPr>
          <w:sz w:val="24"/>
        </w:rPr>
        <w:t xml:space="preserve"> T (2010) How to Read a Paper: The Basics of evidence based medicine (4th Edition) London: Wiley-Blackwell ISBN-10: </w:t>
      </w:r>
      <w:proofErr w:type="gramStart"/>
      <w:r w:rsidRPr="007244EA">
        <w:rPr>
          <w:sz w:val="24"/>
        </w:rPr>
        <w:t>1444334360  ISBN</w:t>
      </w:r>
      <w:proofErr w:type="gramEnd"/>
      <w:r w:rsidRPr="007244EA">
        <w:rPr>
          <w:sz w:val="24"/>
        </w:rPr>
        <w:t>-13: 978-1444334364</w:t>
      </w:r>
      <w:r>
        <w:rPr>
          <w:sz w:val="24"/>
        </w:rPr>
        <w:t>(Or 5</w:t>
      </w:r>
      <w:r w:rsidRPr="007244EA">
        <w:rPr>
          <w:sz w:val="24"/>
          <w:vertAlign w:val="superscript"/>
        </w:rPr>
        <w:t>th</w:t>
      </w:r>
      <w:r>
        <w:rPr>
          <w:sz w:val="24"/>
        </w:rPr>
        <w:t xml:space="preserve"> edition just released: </w:t>
      </w:r>
      <w:hyperlink r:id="rId6" w:history="1">
        <w:r w:rsidRPr="000B1746">
          <w:rPr>
            <w:rStyle w:val="Hyperlink"/>
            <w:sz w:val="24"/>
          </w:rPr>
          <w:t>http://eu.wiley.com/WileyCDA/WileyTitle/productCd-EHEP003117.html</w:t>
        </w:r>
      </w:hyperlink>
      <w:r>
        <w:rPr>
          <w:sz w:val="24"/>
        </w:rPr>
        <w:t>)</w:t>
      </w:r>
    </w:p>
    <w:p w:rsidR="007244EA" w:rsidRDefault="007244EA">
      <w:pPr>
        <w:rPr>
          <w:sz w:val="24"/>
        </w:rPr>
      </w:pPr>
      <w:r w:rsidRPr="007244EA">
        <w:rPr>
          <w:sz w:val="24"/>
        </w:rPr>
        <w:t xml:space="preserve">Herbert, </w:t>
      </w:r>
      <w:proofErr w:type="spellStart"/>
      <w:r w:rsidRPr="007244EA">
        <w:rPr>
          <w:sz w:val="24"/>
        </w:rPr>
        <w:t>Jamtvedt</w:t>
      </w:r>
      <w:proofErr w:type="spellEnd"/>
      <w:r w:rsidRPr="007244EA">
        <w:rPr>
          <w:sz w:val="24"/>
        </w:rPr>
        <w:t>, Mead, Birger Hagen. 2011 Practical E</w:t>
      </w:r>
      <w:r>
        <w:rPr>
          <w:sz w:val="24"/>
        </w:rPr>
        <w:t>vidence-Based Physiotherapy. 2nd</w:t>
      </w:r>
      <w:r w:rsidRPr="007244EA">
        <w:rPr>
          <w:sz w:val="24"/>
        </w:rPr>
        <w:t xml:space="preserve"> Editio</w:t>
      </w:r>
      <w:r w:rsidR="003D5453">
        <w:rPr>
          <w:sz w:val="24"/>
        </w:rPr>
        <w:t>n, Churchill Livingstone</w:t>
      </w:r>
      <w:r w:rsidRPr="007244EA">
        <w:rPr>
          <w:sz w:val="24"/>
        </w:rPr>
        <w:t>.</w:t>
      </w:r>
    </w:p>
    <w:p w:rsidR="00C54937" w:rsidRDefault="00C54937">
      <w:pPr>
        <w:rPr>
          <w:sz w:val="24"/>
        </w:rPr>
      </w:pPr>
      <w:proofErr w:type="spellStart"/>
      <w:r w:rsidRPr="00C54937">
        <w:rPr>
          <w:sz w:val="24"/>
        </w:rPr>
        <w:t>Kietrys</w:t>
      </w:r>
      <w:proofErr w:type="spellEnd"/>
      <w:r w:rsidRPr="00C54937">
        <w:rPr>
          <w:sz w:val="24"/>
        </w:rPr>
        <w:t xml:space="preserve"> DM, </w:t>
      </w:r>
      <w:proofErr w:type="spellStart"/>
      <w:r w:rsidRPr="00C54937">
        <w:rPr>
          <w:sz w:val="24"/>
        </w:rPr>
        <w:t>Palombaro</w:t>
      </w:r>
      <w:proofErr w:type="spellEnd"/>
      <w:r w:rsidRPr="00C54937">
        <w:rPr>
          <w:sz w:val="24"/>
        </w:rPr>
        <w:t xml:space="preserve"> KM, </w:t>
      </w:r>
      <w:proofErr w:type="spellStart"/>
      <w:r w:rsidRPr="00C54937">
        <w:rPr>
          <w:sz w:val="24"/>
        </w:rPr>
        <w:t>Azzaretto</w:t>
      </w:r>
      <w:proofErr w:type="spellEnd"/>
      <w:r w:rsidRPr="00C54937">
        <w:rPr>
          <w:sz w:val="24"/>
        </w:rPr>
        <w:t xml:space="preserve"> E, </w:t>
      </w:r>
      <w:proofErr w:type="spellStart"/>
      <w:r w:rsidRPr="00C54937">
        <w:rPr>
          <w:sz w:val="24"/>
        </w:rPr>
        <w:t>Hubler</w:t>
      </w:r>
      <w:proofErr w:type="spellEnd"/>
      <w:r w:rsidRPr="00C54937">
        <w:rPr>
          <w:sz w:val="24"/>
        </w:rPr>
        <w:t xml:space="preserve"> R, Schaller B, </w:t>
      </w:r>
      <w:proofErr w:type="spellStart"/>
      <w:r w:rsidRPr="00C54937">
        <w:rPr>
          <w:sz w:val="24"/>
        </w:rPr>
        <w:t>Schlussel</w:t>
      </w:r>
      <w:proofErr w:type="spellEnd"/>
      <w:r w:rsidRPr="00C54937">
        <w:rPr>
          <w:sz w:val="24"/>
        </w:rPr>
        <w:t xml:space="preserve"> JM, Tucker M. Effectiveness of dry needling for upper-quarter myofascial pain: a systematic review and meta-analysis. J </w:t>
      </w:r>
      <w:proofErr w:type="spellStart"/>
      <w:r w:rsidRPr="00C54937">
        <w:rPr>
          <w:sz w:val="24"/>
        </w:rPr>
        <w:t>Orthop</w:t>
      </w:r>
      <w:proofErr w:type="spellEnd"/>
      <w:r w:rsidRPr="00C54937">
        <w:rPr>
          <w:sz w:val="24"/>
        </w:rPr>
        <w:t xml:space="preserve"> Sports Phys </w:t>
      </w:r>
      <w:proofErr w:type="spellStart"/>
      <w:r w:rsidRPr="00C54937">
        <w:rPr>
          <w:sz w:val="24"/>
        </w:rPr>
        <w:t>Ther</w:t>
      </w:r>
      <w:proofErr w:type="spellEnd"/>
      <w:r w:rsidRPr="00C54937">
        <w:rPr>
          <w:sz w:val="24"/>
        </w:rPr>
        <w:t>. 2013 Sep</w:t>
      </w:r>
      <w:proofErr w:type="gramStart"/>
      <w:r w:rsidRPr="00C54937">
        <w:rPr>
          <w:sz w:val="24"/>
        </w:rPr>
        <w:t>;43</w:t>
      </w:r>
      <w:proofErr w:type="gramEnd"/>
      <w:r w:rsidRPr="00C54937">
        <w:rPr>
          <w:sz w:val="24"/>
        </w:rPr>
        <w:t xml:space="preserve">(9):620-34. </w:t>
      </w:r>
      <w:proofErr w:type="spellStart"/>
      <w:proofErr w:type="gramStart"/>
      <w:r w:rsidRPr="00C54937">
        <w:rPr>
          <w:sz w:val="24"/>
        </w:rPr>
        <w:t>doi</w:t>
      </w:r>
      <w:proofErr w:type="spellEnd"/>
      <w:proofErr w:type="gramEnd"/>
      <w:r w:rsidRPr="00C54937">
        <w:rPr>
          <w:sz w:val="24"/>
        </w:rPr>
        <w:t>: 10.2519/jospt.2013.4668.</w:t>
      </w:r>
    </w:p>
    <w:p w:rsidR="00C54937" w:rsidRPr="00C54937" w:rsidRDefault="00C54937" w:rsidP="00C54937">
      <w:pPr>
        <w:rPr>
          <w:sz w:val="24"/>
        </w:rPr>
      </w:pPr>
      <w:proofErr w:type="spellStart"/>
      <w:r w:rsidRPr="00C54937">
        <w:rPr>
          <w:sz w:val="24"/>
        </w:rPr>
        <w:t>Parreira</w:t>
      </w:r>
      <w:proofErr w:type="spellEnd"/>
      <w:r w:rsidRPr="00C54937">
        <w:rPr>
          <w:sz w:val="24"/>
        </w:rPr>
        <w:t xml:space="preserve"> </w:t>
      </w:r>
      <w:proofErr w:type="spellStart"/>
      <w:r w:rsidRPr="00C54937">
        <w:rPr>
          <w:sz w:val="24"/>
        </w:rPr>
        <w:t>Pdo</w:t>
      </w:r>
      <w:proofErr w:type="spellEnd"/>
      <w:r w:rsidRPr="00C54937">
        <w:rPr>
          <w:sz w:val="24"/>
        </w:rPr>
        <w:t xml:space="preserve"> C, Costa </w:t>
      </w:r>
      <w:proofErr w:type="spellStart"/>
      <w:r w:rsidRPr="00C54937">
        <w:rPr>
          <w:sz w:val="24"/>
        </w:rPr>
        <w:t>Lda</w:t>
      </w:r>
      <w:proofErr w:type="spellEnd"/>
      <w:r w:rsidRPr="00C54937">
        <w:rPr>
          <w:sz w:val="24"/>
        </w:rPr>
        <w:t xml:space="preserve"> C, </w:t>
      </w:r>
      <w:proofErr w:type="spellStart"/>
      <w:r w:rsidRPr="00C54937">
        <w:rPr>
          <w:sz w:val="24"/>
        </w:rPr>
        <w:t>Hespanhol</w:t>
      </w:r>
      <w:proofErr w:type="spellEnd"/>
      <w:r w:rsidRPr="00C54937">
        <w:rPr>
          <w:sz w:val="24"/>
        </w:rPr>
        <w:t xml:space="preserve"> Junior LC, Lopes AD, Costa LO </w:t>
      </w:r>
      <w:r>
        <w:rPr>
          <w:sz w:val="24"/>
        </w:rPr>
        <w:t xml:space="preserve">. </w:t>
      </w:r>
      <w:r w:rsidRPr="00C54937">
        <w:rPr>
          <w:sz w:val="24"/>
        </w:rPr>
        <w:t xml:space="preserve">Current evidence does not support the use of </w:t>
      </w:r>
      <w:proofErr w:type="spellStart"/>
      <w:r w:rsidRPr="00C54937">
        <w:rPr>
          <w:sz w:val="24"/>
        </w:rPr>
        <w:t>Kinesio</w:t>
      </w:r>
      <w:proofErr w:type="spellEnd"/>
      <w:r w:rsidRPr="00C54937">
        <w:rPr>
          <w:sz w:val="24"/>
        </w:rPr>
        <w:t xml:space="preserve"> Taping in clinical</w:t>
      </w:r>
      <w:r>
        <w:rPr>
          <w:sz w:val="24"/>
        </w:rPr>
        <w:t xml:space="preserve"> practice: a systematic review. </w:t>
      </w:r>
      <w:r w:rsidRPr="00C54937">
        <w:rPr>
          <w:sz w:val="24"/>
        </w:rPr>
        <w:t xml:space="preserve">J </w:t>
      </w:r>
      <w:proofErr w:type="spellStart"/>
      <w:r w:rsidRPr="00C54937">
        <w:rPr>
          <w:sz w:val="24"/>
        </w:rPr>
        <w:t>Physiother</w:t>
      </w:r>
      <w:proofErr w:type="spellEnd"/>
      <w:r w:rsidRPr="00C54937">
        <w:rPr>
          <w:sz w:val="24"/>
        </w:rPr>
        <w:t>. 2014 Mar</w:t>
      </w:r>
      <w:proofErr w:type="gramStart"/>
      <w:r w:rsidRPr="00C54937">
        <w:rPr>
          <w:sz w:val="24"/>
        </w:rPr>
        <w:t>;60</w:t>
      </w:r>
      <w:proofErr w:type="gramEnd"/>
      <w:r w:rsidRPr="00C54937">
        <w:rPr>
          <w:sz w:val="24"/>
        </w:rPr>
        <w:t xml:space="preserve">(1):31-9. </w:t>
      </w:r>
      <w:proofErr w:type="spellStart"/>
      <w:proofErr w:type="gramStart"/>
      <w:r w:rsidRPr="00C54937">
        <w:rPr>
          <w:sz w:val="24"/>
        </w:rPr>
        <w:t>doi</w:t>
      </w:r>
      <w:proofErr w:type="spellEnd"/>
      <w:proofErr w:type="gramEnd"/>
      <w:r w:rsidRPr="00C54937">
        <w:rPr>
          <w:sz w:val="24"/>
        </w:rPr>
        <w:t xml:space="preserve">: 10.1016/j.jphys.2013.12.008. </w:t>
      </w:r>
      <w:proofErr w:type="spellStart"/>
      <w:r w:rsidRPr="00C54937">
        <w:rPr>
          <w:sz w:val="24"/>
        </w:rPr>
        <w:t>Epub</w:t>
      </w:r>
      <w:proofErr w:type="spellEnd"/>
      <w:r w:rsidRPr="00C54937">
        <w:rPr>
          <w:sz w:val="24"/>
        </w:rPr>
        <w:t xml:space="preserve"> 2014 Apr 24.</w:t>
      </w:r>
    </w:p>
    <w:p w:rsidR="00C54937" w:rsidRDefault="00C54937" w:rsidP="00C54937">
      <w:pPr>
        <w:rPr>
          <w:sz w:val="24"/>
        </w:rPr>
      </w:pPr>
      <w:proofErr w:type="spellStart"/>
      <w:r w:rsidRPr="00C54937">
        <w:rPr>
          <w:sz w:val="24"/>
        </w:rPr>
        <w:t>Prange</w:t>
      </w:r>
      <w:proofErr w:type="spellEnd"/>
      <w:r w:rsidRPr="00C54937">
        <w:rPr>
          <w:sz w:val="24"/>
        </w:rPr>
        <w:t xml:space="preserve"> GB, </w:t>
      </w:r>
      <w:proofErr w:type="spellStart"/>
      <w:r w:rsidRPr="00C54937">
        <w:rPr>
          <w:sz w:val="24"/>
        </w:rPr>
        <w:t>Kottink</w:t>
      </w:r>
      <w:proofErr w:type="spellEnd"/>
      <w:r w:rsidRPr="00C54937">
        <w:rPr>
          <w:sz w:val="24"/>
        </w:rPr>
        <w:t xml:space="preserve"> AI, </w:t>
      </w:r>
      <w:proofErr w:type="spellStart"/>
      <w:r w:rsidRPr="00C54937">
        <w:rPr>
          <w:sz w:val="24"/>
        </w:rPr>
        <w:t>Buurke</w:t>
      </w:r>
      <w:proofErr w:type="spellEnd"/>
      <w:r w:rsidRPr="00C54937">
        <w:rPr>
          <w:sz w:val="24"/>
        </w:rPr>
        <w:t xml:space="preserve"> JH, </w:t>
      </w:r>
      <w:proofErr w:type="spellStart"/>
      <w:r w:rsidRPr="00C54937">
        <w:rPr>
          <w:sz w:val="24"/>
        </w:rPr>
        <w:t>Eckhardt</w:t>
      </w:r>
      <w:proofErr w:type="spellEnd"/>
      <w:r w:rsidRPr="00C54937">
        <w:rPr>
          <w:sz w:val="24"/>
        </w:rPr>
        <w:t xml:space="preserve"> MM, van </w:t>
      </w:r>
      <w:proofErr w:type="spellStart"/>
      <w:r w:rsidRPr="00C54937">
        <w:rPr>
          <w:sz w:val="24"/>
        </w:rPr>
        <w:t>Keulen-Rouweler</w:t>
      </w:r>
      <w:proofErr w:type="spellEnd"/>
      <w:r w:rsidRPr="00C54937">
        <w:rPr>
          <w:sz w:val="24"/>
        </w:rPr>
        <w:t xml:space="preserve"> BJ, </w:t>
      </w:r>
      <w:proofErr w:type="spellStart"/>
      <w:r w:rsidRPr="00C54937">
        <w:rPr>
          <w:sz w:val="24"/>
        </w:rPr>
        <w:t>Ribbers</w:t>
      </w:r>
      <w:proofErr w:type="spellEnd"/>
      <w:r w:rsidRPr="00C54937">
        <w:rPr>
          <w:sz w:val="24"/>
        </w:rPr>
        <w:t xml:space="preserve"> GM, </w:t>
      </w:r>
      <w:proofErr w:type="spellStart"/>
      <w:r w:rsidRPr="00C54937">
        <w:rPr>
          <w:sz w:val="24"/>
        </w:rPr>
        <w:t>Rietman</w:t>
      </w:r>
      <w:proofErr w:type="spellEnd"/>
      <w:r w:rsidRPr="00C54937">
        <w:rPr>
          <w:sz w:val="24"/>
        </w:rPr>
        <w:t xml:space="preserve"> JS. The Effect of Arm Support Combined With Rehabilitation Games on Upper-Extremity Function in Subacute Stroke: A Randomized Controlled Trial. </w:t>
      </w:r>
      <w:proofErr w:type="spellStart"/>
      <w:r w:rsidRPr="00C54937">
        <w:rPr>
          <w:sz w:val="24"/>
        </w:rPr>
        <w:t>Neurorehabil</w:t>
      </w:r>
      <w:proofErr w:type="spellEnd"/>
      <w:r w:rsidRPr="00C54937">
        <w:rPr>
          <w:sz w:val="24"/>
        </w:rPr>
        <w:t xml:space="preserve"> Neural Repair 2014; May 29. </w:t>
      </w:r>
      <w:proofErr w:type="spellStart"/>
      <w:proofErr w:type="gramStart"/>
      <w:r w:rsidRPr="00C54937">
        <w:rPr>
          <w:sz w:val="24"/>
        </w:rPr>
        <w:t>pii</w:t>
      </w:r>
      <w:proofErr w:type="spellEnd"/>
      <w:proofErr w:type="gramEnd"/>
      <w:r w:rsidRPr="00C54937">
        <w:rPr>
          <w:sz w:val="24"/>
        </w:rPr>
        <w:t>: 1545968314535985. [</w:t>
      </w:r>
      <w:proofErr w:type="spellStart"/>
      <w:r w:rsidRPr="00C54937">
        <w:rPr>
          <w:sz w:val="24"/>
        </w:rPr>
        <w:t>Epub</w:t>
      </w:r>
      <w:proofErr w:type="spellEnd"/>
      <w:r w:rsidRPr="00C54937">
        <w:rPr>
          <w:sz w:val="24"/>
        </w:rPr>
        <w:t xml:space="preserve"> ahead of print]</w:t>
      </w:r>
    </w:p>
    <w:p w:rsidR="00C54937" w:rsidRDefault="00C54937" w:rsidP="00C54937">
      <w:pPr>
        <w:rPr>
          <w:sz w:val="24"/>
        </w:rPr>
      </w:pPr>
      <w:r>
        <w:rPr>
          <w:sz w:val="24"/>
        </w:rPr>
        <w:t xml:space="preserve">Vibe </w:t>
      </w:r>
      <w:proofErr w:type="spellStart"/>
      <w:r>
        <w:rPr>
          <w:sz w:val="24"/>
        </w:rPr>
        <w:t>Fersum</w:t>
      </w:r>
      <w:proofErr w:type="spellEnd"/>
      <w:r>
        <w:rPr>
          <w:sz w:val="24"/>
        </w:rPr>
        <w:t xml:space="preserve"> K</w:t>
      </w:r>
      <w:r w:rsidRPr="00C54937">
        <w:rPr>
          <w:sz w:val="24"/>
        </w:rPr>
        <w:t xml:space="preserve">, O'Sullivan P, </w:t>
      </w:r>
      <w:proofErr w:type="spellStart"/>
      <w:r w:rsidRPr="00C54937">
        <w:rPr>
          <w:sz w:val="24"/>
        </w:rPr>
        <w:t>Skouen</w:t>
      </w:r>
      <w:proofErr w:type="spellEnd"/>
      <w:r w:rsidRPr="00C54937">
        <w:rPr>
          <w:sz w:val="24"/>
        </w:rPr>
        <w:t xml:space="preserve"> JS, Smith A, </w:t>
      </w:r>
      <w:proofErr w:type="spellStart"/>
      <w:r w:rsidRPr="00C54937">
        <w:rPr>
          <w:sz w:val="24"/>
        </w:rPr>
        <w:t>Kvåle</w:t>
      </w:r>
      <w:proofErr w:type="spellEnd"/>
      <w:r w:rsidRPr="00C54937">
        <w:rPr>
          <w:sz w:val="24"/>
        </w:rPr>
        <w:t xml:space="preserve"> A.</w:t>
      </w:r>
      <w:r>
        <w:rPr>
          <w:sz w:val="24"/>
        </w:rPr>
        <w:t xml:space="preserve">  </w:t>
      </w:r>
      <w:r w:rsidRPr="00C54937">
        <w:rPr>
          <w:sz w:val="24"/>
        </w:rPr>
        <w:t>Efficacy of classification-based cognitive functional therapy in patients with non-specific chronic low back pain: a randomized controlled trial.</w:t>
      </w:r>
      <w:r>
        <w:rPr>
          <w:sz w:val="24"/>
        </w:rPr>
        <w:t xml:space="preserve"> </w:t>
      </w:r>
      <w:proofErr w:type="spellStart"/>
      <w:r>
        <w:rPr>
          <w:sz w:val="24"/>
        </w:rPr>
        <w:t>Eur</w:t>
      </w:r>
      <w:proofErr w:type="spellEnd"/>
      <w:r>
        <w:rPr>
          <w:sz w:val="24"/>
        </w:rPr>
        <w:t xml:space="preserve"> J Pain. 2013</w:t>
      </w:r>
      <w:proofErr w:type="gramStart"/>
      <w:r w:rsidRPr="00C54937">
        <w:rPr>
          <w:sz w:val="24"/>
        </w:rPr>
        <w:t>;17</w:t>
      </w:r>
      <w:proofErr w:type="gramEnd"/>
      <w:r w:rsidRPr="00C54937">
        <w:rPr>
          <w:sz w:val="24"/>
        </w:rPr>
        <w:t>(6):916-28</w:t>
      </w:r>
    </w:p>
    <w:p w:rsidR="00C54937" w:rsidRDefault="00C54937" w:rsidP="00C54937">
      <w:pPr>
        <w:rPr>
          <w:sz w:val="24"/>
        </w:rPr>
      </w:pPr>
    </w:p>
    <w:p w:rsidR="007244EA" w:rsidRDefault="007244EA">
      <w:pPr>
        <w:rPr>
          <w:sz w:val="24"/>
        </w:rPr>
      </w:pPr>
    </w:p>
    <w:p w:rsidR="007244EA" w:rsidRDefault="007244EA">
      <w:pPr>
        <w:rPr>
          <w:sz w:val="24"/>
        </w:rPr>
      </w:pPr>
    </w:p>
    <w:p w:rsidR="007244EA" w:rsidRPr="007244EA" w:rsidRDefault="007244EA">
      <w:pPr>
        <w:rPr>
          <w:sz w:val="24"/>
        </w:rPr>
      </w:pPr>
    </w:p>
    <w:sectPr w:rsidR="007244EA" w:rsidRPr="007244EA" w:rsidSect="00026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E66"/>
    <w:multiLevelType w:val="hybridMultilevel"/>
    <w:tmpl w:val="D472A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20EF6"/>
    <w:multiLevelType w:val="hybridMultilevel"/>
    <w:tmpl w:val="4128F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D9E"/>
    <w:multiLevelType w:val="hybridMultilevel"/>
    <w:tmpl w:val="1E5E4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76516"/>
    <w:multiLevelType w:val="hybridMultilevel"/>
    <w:tmpl w:val="73D4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56D4B"/>
    <w:multiLevelType w:val="hybridMultilevel"/>
    <w:tmpl w:val="494EC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0607F"/>
    <w:multiLevelType w:val="hybridMultilevel"/>
    <w:tmpl w:val="5EF8B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605D0"/>
    <w:multiLevelType w:val="hybridMultilevel"/>
    <w:tmpl w:val="42587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C677A"/>
    <w:multiLevelType w:val="hybridMultilevel"/>
    <w:tmpl w:val="F45AB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17542"/>
    <w:multiLevelType w:val="hybridMultilevel"/>
    <w:tmpl w:val="5A82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95853"/>
    <w:multiLevelType w:val="hybridMultilevel"/>
    <w:tmpl w:val="48AC8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57"/>
    <w:rsid w:val="0000019F"/>
    <w:rsid w:val="00026D60"/>
    <w:rsid w:val="00083634"/>
    <w:rsid w:val="000D163E"/>
    <w:rsid w:val="00106875"/>
    <w:rsid w:val="0014307F"/>
    <w:rsid w:val="00171FA1"/>
    <w:rsid w:val="001819F3"/>
    <w:rsid w:val="00194EFA"/>
    <w:rsid w:val="001F59EC"/>
    <w:rsid w:val="00200AFB"/>
    <w:rsid w:val="0026079C"/>
    <w:rsid w:val="002763B0"/>
    <w:rsid w:val="002C4D85"/>
    <w:rsid w:val="002E25FD"/>
    <w:rsid w:val="00342202"/>
    <w:rsid w:val="00342958"/>
    <w:rsid w:val="00362BC8"/>
    <w:rsid w:val="00366A8E"/>
    <w:rsid w:val="003D5453"/>
    <w:rsid w:val="004145BD"/>
    <w:rsid w:val="00427B35"/>
    <w:rsid w:val="00446F12"/>
    <w:rsid w:val="004577AE"/>
    <w:rsid w:val="0048490E"/>
    <w:rsid w:val="004C0999"/>
    <w:rsid w:val="004C5FFF"/>
    <w:rsid w:val="005025C2"/>
    <w:rsid w:val="0056409B"/>
    <w:rsid w:val="005A1FC0"/>
    <w:rsid w:val="005A4050"/>
    <w:rsid w:val="005B07EB"/>
    <w:rsid w:val="0063402A"/>
    <w:rsid w:val="00650128"/>
    <w:rsid w:val="00656F57"/>
    <w:rsid w:val="00681C44"/>
    <w:rsid w:val="00685C98"/>
    <w:rsid w:val="006B2897"/>
    <w:rsid w:val="006F48D9"/>
    <w:rsid w:val="00706776"/>
    <w:rsid w:val="0070765A"/>
    <w:rsid w:val="007244EA"/>
    <w:rsid w:val="00742855"/>
    <w:rsid w:val="0074768D"/>
    <w:rsid w:val="007506D2"/>
    <w:rsid w:val="00751B1D"/>
    <w:rsid w:val="007821C9"/>
    <w:rsid w:val="007E36C2"/>
    <w:rsid w:val="007F3547"/>
    <w:rsid w:val="00830EB0"/>
    <w:rsid w:val="008941F8"/>
    <w:rsid w:val="008B0933"/>
    <w:rsid w:val="008B7FB5"/>
    <w:rsid w:val="008E095F"/>
    <w:rsid w:val="0095324B"/>
    <w:rsid w:val="00960F88"/>
    <w:rsid w:val="0096301E"/>
    <w:rsid w:val="009B5BFD"/>
    <w:rsid w:val="009D3AFB"/>
    <w:rsid w:val="009E2743"/>
    <w:rsid w:val="009E3436"/>
    <w:rsid w:val="00A47BF0"/>
    <w:rsid w:val="00A55489"/>
    <w:rsid w:val="00A6579D"/>
    <w:rsid w:val="00A90674"/>
    <w:rsid w:val="00AC4FC5"/>
    <w:rsid w:val="00AE0098"/>
    <w:rsid w:val="00AE5E4F"/>
    <w:rsid w:val="00AF4CAD"/>
    <w:rsid w:val="00B016F9"/>
    <w:rsid w:val="00B2000C"/>
    <w:rsid w:val="00B63DB1"/>
    <w:rsid w:val="00B66676"/>
    <w:rsid w:val="00B75077"/>
    <w:rsid w:val="00BB697B"/>
    <w:rsid w:val="00BC0AED"/>
    <w:rsid w:val="00BC3338"/>
    <w:rsid w:val="00BD61F8"/>
    <w:rsid w:val="00BF0FEE"/>
    <w:rsid w:val="00C245B2"/>
    <w:rsid w:val="00C277B3"/>
    <w:rsid w:val="00C342E9"/>
    <w:rsid w:val="00C54937"/>
    <w:rsid w:val="00C63E9D"/>
    <w:rsid w:val="00CB6DFF"/>
    <w:rsid w:val="00CE36E3"/>
    <w:rsid w:val="00CF4DB4"/>
    <w:rsid w:val="00D13737"/>
    <w:rsid w:val="00D25FEF"/>
    <w:rsid w:val="00D84D80"/>
    <w:rsid w:val="00DA7CA0"/>
    <w:rsid w:val="00E36EAF"/>
    <w:rsid w:val="00E47B9C"/>
    <w:rsid w:val="00E50618"/>
    <w:rsid w:val="00EA5873"/>
    <w:rsid w:val="00EB0CD3"/>
    <w:rsid w:val="00ED1D06"/>
    <w:rsid w:val="00ED2A13"/>
    <w:rsid w:val="00F54B1D"/>
    <w:rsid w:val="00F94060"/>
    <w:rsid w:val="00FA4905"/>
    <w:rsid w:val="00FB127F"/>
    <w:rsid w:val="00FC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E9A228-5997-456E-9D4A-3CEE1746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47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B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B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7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E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.wiley.com/WileyCDA/WileyTitle/productCd-EHEP003117.html" TargetMode="External"/><Relationship Id="rId5" Type="http://schemas.openxmlformats.org/officeDocument/2006/relationships/hyperlink" Target="http://www.bodyinmin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O'Connell</dc:creator>
  <cp:lastModifiedBy>Neil O'Connell</cp:lastModifiedBy>
  <cp:revision>4</cp:revision>
  <dcterms:created xsi:type="dcterms:W3CDTF">2015-12-21T19:46:00Z</dcterms:created>
  <dcterms:modified xsi:type="dcterms:W3CDTF">2015-12-21T19:47:00Z</dcterms:modified>
</cp:coreProperties>
</file>